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B7A" w:rsidRPr="0007090B" w:rsidRDefault="00665B7A" w:rsidP="00665B7A">
      <w:pPr>
        <w:autoSpaceDE w:val="0"/>
        <w:autoSpaceDN w:val="0"/>
        <w:adjustRightInd w:val="0"/>
        <w:spacing w:after="0" w:line="276" w:lineRule="auto"/>
        <w:jc w:val="both"/>
        <w:textAlignment w:val="center"/>
        <w:rPr>
          <w:rFonts w:ascii="Sylfaen" w:hAnsi="Sylfaen" w:cs="BPG Nino Mtavruli"/>
          <w:b/>
          <w:bCs/>
          <w:color w:val="000000"/>
          <w:lang w:val="ka-GE"/>
        </w:rPr>
      </w:pPr>
      <w:bookmarkStart w:id="0" w:name="_GoBack"/>
      <w:r w:rsidRPr="0007090B">
        <w:rPr>
          <w:rFonts w:ascii="Sylfaen" w:hAnsi="Sylfaen" w:cs="BPG Nino Mtavruli"/>
          <w:b/>
          <w:bCs/>
          <w:color w:val="000000"/>
          <w:lang w:val="ka-GE"/>
        </w:rPr>
        <w:t>საყოველთაო ჯანდაცვა</w:t>
      </w:r>
    </w:p>
    <w:bookmarkEnd w:id="0"/>
    <w:p w:rsidR="00665B7A" w:rsidRPr="0007090B" w:rsidRDefault="00665B7A" w:rsidP="00665B7A">
      <w:pPr>
        <w:autoSpaceDE w:val="0"/>
        <w:autoSpaceDN w:val="0"/>
        <w:adjustRightInd w:val="0"/>
        <w:spacing w:after="0" w:line="276" w:lineRule="auto"/>
        <w:jc w:val="both"/>
        <w:textAlignment w:val="center"/>
        <w:rPr>
          <w:rFonts w:ascii="Sylfaen" w:hAnsi="Sylfaen" w:cs="BPG Nino Mtavruli"/>
          <w:b/>
          <w:bCs/>
          <w:color w:val="000000"/>
          <w:lang w:val="ka-GE"/>
        </w:rPr>
      </w:pPr>
    </w:p>
    <w:p w:rsidR="00665B7A" w:rsidRPr="0007090B" w:rsidRDefault="00665B7A" w:rsidP="00665B7A">
      <w:pPr>
        <w:autoSpaceDE w:val="0"/>
        <w:autoSpaceDN w:val="0"/>
        <w:adjustRightInd w:val="0"/>
        <w:spacing w:after="0" w:line="276" w:lineRule="auto"/>
        <w:jc w:val="both"/>
        <w:textAlignment w:val="center"/>
        <w:rPr>
          <w:rFonts w:ascii="Sylfaen" w:hAnsi="Sylfaen" w:cs="BPG Rioni Arial"/>
          <w:color w:val="000000"/>
          <w:lang w:val="ka-GE"/>
        </w:rPr>
      </w:pPr>
      <w:r w:rsidRPr="0007090B">
        <w:rPr>
          <w:rFonts w:ascii="Sylfaen" w:hAnsi="Sylfaen" w:cs="BPG Rioni Arial"/>
          <w:color w:val="000000"/>
          <w:lang w:val="ka-GE"/>
        </w:rPr>
        <w:t>სამედიცინო მომსახურებით მოსახლეობის საყოველთაო მოცვა გლობალური ჯანმრთელობის უმთავრეს პრიორიტეტს წარმოადგენს და გულისხმობს მოსახლეობის არა მარტო ფინანსური რისკებისაგან დაცვას, არამედ მათთვის მაღალხარისხიანი სამედიცინო მომსახურების თანაბარი და სამართლიანი მიწოდების გარანტიას.</w:t>
      </w:r>
    </w:p>
    <w:p w:rsidR="00665B7A" w:rsidRPr="0007090B" w:rsidRDefault="00665B7A" w:rsidP="00665B7A">
      <w:pPr>
        <w:autoSpaceDE w:val="0"/>
        <w:autoSpaceDN w:val="0"/>
        <w:adjustRightInd w:val="0"/>
        <w:spacing w:after="0" w:line="276" w:lineRule="auto"/>
        <w:jc w:val="both"/>
        <w:textAlignment w:val="center"/>
        <w:rPr>
          <w:rFonts w:ascii="Sylfaen" w:hAnsi="Sylfaen" w:cs="BPG Rioni Arial"/>
          <w:color w:val="000000"/>
          <w:lang w:val="ka-GE"/>
        </w:rPr>
      </w:pPr>
    </w:p>
    <w:p w:rsidR="00665B7A" w:rsidRPr="0007090B" w:rsidRDefault="00665B7A" w:rsidP="00665B7A">
      <w:pPr>
        <w:autoSpaceDE w:val="0"/>
        <w:autoSpaceDN w:val="0"/>
        <w:adjustRightInd w:val="0"/>
        <w:spacing w:after="0" w:line="276" w:lineRule="auto"/>
        <w:jc w:val="both"/>
        <w:textAlignment w:val="center"/>
        <w:rPr>
          <w:rFonts w:ascii="Sylfaen" w:hAnsi="Sylfaen" w:cs="BPG Rioni Arial"/>
          <w:color w:val="000000"/>
          <w:lang w:val="ka-GE"/>
        </w:rPr>
      </w:pPr>
      <w:r w:rsidRPr="0007090B">
        <w:rPr>
          <w:rFonts w:ascii="Sylfaen" w:hAnsi="Sylfaen" w:cs="BPG Rioni Arial"/>
          <w:color w:val="000000"/>
          <w:lang w:val="ka-GE"/>
        </w:rPr>
        <w:t>უნივერსალური მოცვის იდეა პირველად გაცხადებული იქნა ჯანმრთელობის მსოფლიო ორგანიზაციის 1948 წლის კონსტიტუციით, როდესაც ჯანმრთელობა გამოცხადდა ადამიანის ფუნდამენტურ უფლებად. 1978 წელს ალმაატაში სტრატეგიით „ჯანმრთელობა ყველასათვის“ კიდევ ერთხელ გაესვა ხაზი მის მნიშვნელობას.  2012 წლის ჯანმრთელობის მსოფლიო ასამბლეის და გაეროს გენერალური ასამბლეის რეზოლუციებში კვლავ გაჟღერდა უნივერსალიზმის პრიორიტეტულობა. 2030 წელს მსოფლიოში ჯანმრთელობის საყოველთაო მოცვის უზრუნველყოფის მიღწევა ასევე აისახა გაეროს მდგრადი განვითარების მე-3 მიზანშიც.</w:t>
      </w:r>
    </w:p>
    <w:p w:rsidR="00665B7A" w:rsidRPr="0007090B" w:rsidRDefault="00665B7A" w:rsidP="00665B7A">
      <w:pPr>
        <w:autoSpaceDE w:val="0"/>
        <w:autoSpaceDN w:val="0"/>
        <w:adjustRightInd w:val="0"/>
        <w:spacing w:after="0" w:line="276" w:lineRule="auto"/>
        <w:jc w:val="both"/>
        <w:textAlignment w:val="center"/>
        <w:rPr>
          <w:rFonts w:ascii="Sylfaen" w:hAnsi="Sylfaen" w:cs="BPG Rioni Arial"/>
          <w:color w:val="000000"/>
          <w:lang w:val="ka-GE"/>
        </w:rPr>
      </w:pPr>
    </w:p>
    <w:p w:rsidR="00665B7A" w:rsidRPr="0007090B" w:rsidRDefault="00665B7A" w:rsidP="00665B7A">
      <w:pPr>
        <w:autoSpaceDE w:val="0"/>
        <w:autoSpaceDN w:val="0"/>
        <w:adjustRightInd w:val="0"/>
        <w:spacing w:after="0" w:line="276" w:lineRule="auto"/>
        <w:jc w:val="both"/>
        <w:textAlignment w:val="center"/>
        <w:rPr>
          <w:rFonts w:ascii="Sylfaen" w:hAnsi="Sylfaen" w:cs="BPG Rioni Arial"/>
          <w:color w:val="000000"/>
          <w:lang w:val="ka-GE"/>
        </w:rPr>
      </w:pPr>
      <w:r w:rsidRPr="0007090B">
        <w:rPr>
          <w:rFonts w:ascii="Sylfaen" w:hAnsi="Sylfaen" w:cs="BPG Rioni Arial"/>
          <w:color w:val="000000"/>
          <w:lang w:val="ka-GE"/>
        </w:rPr>
        <w:t xml:space="preserve">2018 წლის სექტემბერში გაეროს გენერალურ ასამბლეაზე კიდევ ერთხელ გაესვა ხაზი მდგრადი განვითარების მიზნების მნიშვნელობას და საფუძველი ჩაეყარა ახალ საერთაშორისო გაერთიანებას – UHC2030 Global Compact, რომელიც გულისხმობს წევრი ქვეყნების ერთობლივი ძალისხმებით პროგრესის მიღწევას უნივერსალური მოცვის მიმართულებით სამართლიანი, სტაბილური და მდგრადი და ჯანდაცვის სისტემის შექმნის გზით. საქართველო წარმოადგენს UHC2030-ის ხელმომწერ ქვეყანას, რითაც კიდევ ერთხელ დააფიქსირა საკუთარი ხედვა უნივერსალიზმის პრიორიტეტულობის შესახებ, რომელსაც საფუძველი ჩაეყარა 2013 წელს საყოველთაო ჯანდაცვის პროგრამის ამოქმედებით. </w:t>
      </w:r>
    </w:p>
    <w:p w:rsidR="00665B7A" w:rsidRPr="00D23158" w:rsidRDefault="00665B7A" w:rsidP="00665B7A">
      <w:pPr>
        <w:autoSpaceDE w:val="0"/>
        <w:autoSpaceDN w:val="0"/>
        <w:adjustRightInd w:val="0"/>
        <w:spacing w:after="0" w:line="276" w:lineRule="auto"/>
        <w:jc w:val="both"/>
        <w:textAlignment w:val="center"/>
        <w:rPr>
          <w:rFonts w:ascii="Sylfaen" w:hAnsi="Sylfaen" w:cs="BPG Rioni Arial"/>
          <w:color w:val="000000"/>
          <w:lang w:val="ka-GE"/>
        </w:rPr>
      </w:pPr>
    </w:p>
    <w:p w:rsidR="00665B7A" w:rsidRPr="00D23158" w:rsidRDefault="00665B7A" w:rsidP="00665B7A">
      <w:pPr>
        <w:autoSpaceDE w:val="0"/>
        <w:autoSpaceDN w:val="0"/>
        <w:adjustRightInd w:val="0"/>
        <w:spacing w:after="0" w:line="276" w:lineRule="auto"/>
        <w:jc w:val="both"/>
        <w:textAlignment w:val="center"/>
        <w:rPr>
          <w:rFonts w:ascii="Sylfaen" w:hAnsi="Sylfaen" w:cs="BPG Rioni Arial"/>
          <w:color w:val="000000"/>
          <w:lang w:val="ka-GE"/>
        </w:rPr>
      </w:pPr>
      <w:r w:rsidRPr="0007090B">
        <w:rPr>
          <w:rFonts w:ascii="Sylfaen" w:hAnsi="Sylfaen" w:cs="BPG Rioni Arial"/>
          <w:color w:val="000000"/>
          <w:lang w:val="ka-GE"/>
        </w:rPr>
        <w:t xml:space="preserve">2019 </w:t>
      </w:r>
      <w:r w:rsidRPr="00D23158">
        <w:rPr>
          <w:rFonts w:ascii="Sylfaen" w:hAnsi="Sylfaen" w:cs="BPG Rioni Arial"/>
          <w:color w:val="000000"/>
          <w:lang w:val="ka-GE"/>
        </w:rPr>
        <w:t xml:space="preserve">წლის 23 სექტემბერს, გაეროს გენერალური ასამბლეის ფარგლებში, ტაილანდისა და საქართველოს თანაფასილიტაციით ჩატარებულ მაღალი დონის შეხვედრაზე მიღებულ იქნა პოლიტიკური დეკლარაცია „უნივერსალური მოცვა: ერთობლივი სწრაფვა ჯანმრთელი მსოფლიოს მშენებლობისთვის“.  დეკლარაციაში ხაზი გაესვა მდგრადი განვითარების 2030 ჯანდაცვასთან დაკავშირებული მიზნების მიღწევისთვის საჭირო ფინანსური რესურსების მობილიზების აუცილებლობას (იმ ქვეყნების წახალისება სადაც ჯერ კიდევ ჯანდაცვაზე სახელმწიფო ხარჯები დაბალია მშპ-ის 5%-ზე) და ჯანდაცვის სისტემის გაძლიერების ხელშეწყობას. </w:t>
      </w:r>
    </w:p>
    <w:p w:rsidR="00665B7A" w:rsidRPr="0007090B" w:rsidRDefault="00665B7A" w:rsidP="00665B7A">
      <w:pPr>
        <w:autoSpaceDE w:val="0"/>
        <w:autoSpaceDN w:val="0"/>
        <w:adjustRightInd w:val="0"/>
        <w:spacing w:after="0" w:line="276" w:lineRule="auto"/>
        <w:jc w:val="both"/>
        <w:textAlignment w:val="center"/>
        <w:rPr>
          <w:rFonts w:ascii="Sylfaen" w:hAnsi="Sylfaen" w:cs="BPG Rioni Arial"/>
          <w:color w:val="000000"/>
          <w:lang w:val="ka-GE"/>
        </w:rPr>
      </w:pPr>
    </w:p>
    <w:p w:rsidR="00665B7A" w:rsidRPr="0007090B" w:rsidRDefault="00665B7A" w:rsidP="00665B7A">
      <w:pPr>
        <w:autoSpaceDE w:val="0"/>
        <w:autoSpaceDN w:val="0"/>
        <w:adjustRightInd w:val="0"/>
        <w:spacing w:after="0" w:line="276" w:lineRule="auto"/>
        <w:jc w:val="both"/>
        <w:textAlignment w:val="center"/>
        <w:rPr>
          <w:rFonts w:ascii="Sylfaen" w:hAnsi="Sylfaen" w:cs="BPG Rioni Arial"/>
          <w:color w:val="000000"/>
          <w:lang w:val="ka-GE"/>
        </w:rPr>
      </w:pPr>
      <w:r w:rsidRPr="00D23158">
        <w:rPr>
          <w:rFonts w:ascii="Sylfaen" w:hAnsi="Sylfaen" w:cs="BPG Rioni Arial"/>
          <w:color w:val="000000"/>
          <w:lang w:val="ka-GE"/>
        </w:rPr>
        <w:t xml:space="preserve">საქართველო 2013 წელს შეუერთდა იმ ქვეყნების რიგებს, სადაც ჯანმრთელობის დაცვა პრიორიტეტად არის გამოცხადებული და მიღწეულია ჯანდაცვის სერვისებზე უნივერსალური </w:t>
      </w:r>
      <w:r w:rsidRPr="0007090B">
        <w:rPr>
          <w:rFonts w:ascii="Sylfaen" w:hAnsi="Sylfaen" w:cs="BPG Rioni Arial"/>
          <w:color w:val="000000"/>
          <w:lang w:val="ka-GE"/>
        </w:rPr>
        <w:t xml:space="preserve"> </w:t>
      </w:r>
      <w:r w:rsidRPr="00D23158">
        <w:rPr>
          <w:rFonts w:ascii="Sylfaen" w:hAnsi="Sylfaen" w:cs="BPG Rioni Arial"/>
          <w:color w:val="000000"/>
          <w:lang w:val="ka-GE"/>
        </w:rPr>
        <w:t xml:space="preserve">ხელმისაწვდომობა. აღნიშნულს </w:t>
      </w:r>
      <w:r w:rsidRPr="0007090B">
        <w:rPr>
          <w:rFonts w:ascii="Sylfaen" w:hAnsi="Sylfaen" w:cs="BPG Rioni Arial"/>
          <w:color w:val="000000"/>
          <w:lang w:val="ka-GE"/>
        </w:rPr>
        <w:t>ადასტურებს ბოლო წლებში უპრეცედენტოდ გაზრდილი ჯანდაცვის სექტორისთვის გამოყოფილი სახელმწიფო ასიგნებების მოცულობა (2012-2019 წ. – 1</w:t>
      </w:r>
      <w:r w:rsidRPr="00D23158">
        <w:rPr>
          <w:rFonts w:ascii="Sylfaen" w:hAnsi="Sylfaen" w:cs="BPG Rioni Arial"/>
          <w:color w:val="000000"/>
          <w:lang w:val="ka-GE"/>
        </w:rPr>
        <w:t>75</w:t>
      </w:r>
      <w:r w:rsidRPr="0007090B">
        <w:rPr>
          <w:rFonts w:ascii="Sylfaen" w:hAnsi="Sylfaen" w:cs="BPG Rioni Arial"/>
          <w:color w:val="000000"/>
          <w:lang w:val="ka-GE"/>
        </w:rPr>
        <w:t xml:space="preserve">%-იანი ზრდა). ქვეყნის მოსახლეობის 90%-ზე მეტი </w:t>
      </w:r>
      <w:r w:rsidRPr="0007090B">
        <w:rPr>
          <w:rFonts w:ascii="Sylfaen" w:hAnsi="Sylfaen" w:cs="BPG Rioni Arial"/>
          <w:color w:val="000000"/>
          <w:lang w:val="ka-GE"/>
        </w:rPr>
        <w:lastRenderedPageBreak/>
        <w:t>წარმოადგენს საყოველთაო ჯანდაცვის პროგრამის მოსარგებლეს, ხოლო დანარჩენს აქვს კერძო სამედიცინო დაზღვევა.</w:t>
      </w:r>
    </w:p>
    <w:p w:rsidR="00665B7A" w:rsidRPr="0007090B" w:rsidRDefault="00665B7A" w:rsidP="00665B7A">
      <w:pPr>
        <w:autoSpaceDE w:val="0"/>
        <w:autoSpaceDN w:val="0"/>
        <w:adjustRightInd w:val="0"/>
        <w:spacing w:after="0" w:line="276" w:lineRule="auto"/>
        <w:jc w:val="both"/>
        <w:textAlignment w:val="center"/>
        <w:rPr>
          <w:rFonts w:ascii="Sylfaen" w:hAnsi="Sylfaen" w:cs="BPG Rioni Arial"/>
          <w:color w:val="000000"/>
          <w:lang w:val="ka-GE"/>
        </w:rPr>
      </w:pPr>
    </w:p>
    <w:p w:rsidR="00665B7A" w:rsidRPr="0007090B" w:rsidRDefault="00665B7A" w:rsidP="00665B7A">
      <w:pPr>
        <w:autoSpaceDE w:val="0"/>
        <w:autoSpaceDN w:val="0"/>
        <w:adjustRightInd w:val="0"/>
        <w:spacing w:after="0" w:line="276" w:lineRule="auto"/>
        <w:jc w:val="both"/>
        <w:textAlignment w:val="center"/>
        <w:rPr>
          <w:rFonts w:ascii="Sylfaen" w:hAnsi="Sylfaen" w:cs="BPG Rioni Arial"/>
          <w:color w:val="000000"/>
          <w:lang w:val="ka-GE"/>
        </w:rPr>
      </w:pPr>
      <w:r w:rsidRPr="0007090B">
        <w:rPr>
          <w:rFonts w:ascii="Sylfaen" w:hAnsi="Sylfaen" w:cs="BPG Rioni Arial"/>
          <w:color w:val="000000"/>
          <w:lang w:val="ka-GE"/>
        </w:rPr>
        <w:t>პროგრამა მოიცავს გეგმიურ ამბულატორიულ, გადაუდებელ ამბულატორიულ და სტაციონარულ, გეგმიურ ქირურგიულ მომსახურებას, ონკოლოგიური დაავადებების მკურნალობას</w:t>
      </w:r>
      <w:r w:rsidRPr="00D23158">
        <w:rPr>
          <w:rFonts w:ascii="Sylfaen" w:hAnsi="Sylfaen" w:cs="BPG Rioni Arial"/>
          <w:color w:val="000000"/>
          <w:lang w:val="ka-GE"/>
        </w:rPr>
        <w:t>, ინფექციური დაავადებების მართვას და</w:t>
      </w:r>
      <w:r w:rsidRPr="0007090B">
        <w:rPr>
          <w:rFonts w:ascii="Sylfaen" w:hAnsi="Sylfaen" w:cs="BPG Rioni Arial"/>
          <w:color w:val="000000"/>
          <w:lang w:val="ka-GE"/>
        </w:rPr>
        <w:t xml:space="preserve"> მშობიარობას. ასევე ხდება საბაზისო მედიკამენტების დაფინანსება მოსახლეობის  მიზნობრივი ჯგუფებისთვის.</w:t>
      </w:r>
    </w:p>
    <w:p w:rsidR="00665B7A" w:rsidRPr="0007090B" w:rsidRDefault="00665B7A" w:rsidP="00665B7A">
      <w:pPr>
        <w:autoSpaceDE w:val="0"/>
        <w:autoSpaceDN w:val="0"/>
        <w:adjustRightInd w:val="0"/>
        <w:spacing w:after="0" w:line="276" w:lineRule="auto"/>
        <w:jc w:val="both"/>
        <w:textAlignment w:val="center"/>
        <w:rPr>
          <w:rFonts w:ascii="Sylfaen" w:hAnsi="Sylfaen" w:cs="BPG Rioni Arial"/>
          <w:color w:val="000000"/>
          <w:lang w:val="ka-GE"/>
        </w:rPr>
      </w:pPr>
    </w:p>
    <w:p w:rsidR="00665B7A" w:rsidRPr="0007090B" w:rsidRDefault="00665B7A" w:rsidP="00665B7A">
      <w:pPr>
        <w:autoSpaceDE w:val="0"/>
        <w:autoSpaceDN w:val="0"/>
        <w:adjustRightInd w:val="0"/>
        <w:spacing w:after="0" w:line="276" w:lineRule="auto"/>
        <w:jc w:val="both"/>
        <w:textAlignment w:val="center"/>
        <w:rPr>
          <w:rFonts w:ascii="Sylfaen" w:hAnsi="Sylfaen" w:cs="BPG Rioni Arial"/>
          <w:color w:val="000000"/>
          <w:lang w:val="ka-GE"/>
        </w:rPr>
      </w:pPr>
      <w:r w:rsidRPr="0007090B">
        <w:rPr>
          <w:rFonts w:ascii="Sylfaen" w:hAnsi="Sylfaen" w:cs="BPG Rioni Arial"/>
          <w:color w:val="000000"/>
          <w:lang w:val="ka-GE"/>
        </w:rPr>
        <w:t>მსოფლიო ბანკის, ჯანმრთელობის მსოფლიო ორგანიზაციის და აშშ-ის საერთაშორისო განვითარების სააგენტოს მიერ ჩატარებულმა კვლევამ  გამოავლინა საყოველთაო ჯანდაცვის პროგრამის ძირითადი მიღწევები: სამედიცინო სერვისებზე ხელმისაწვდომ</w:t>
      </w:r>
      <w:r w:rsidRPr="00D23158">
        <w:rPr>
          <w:rFonts w:ascii="Sylfaen" w:hAnsi="Sylfaen" w:cs="BPG Rioni Arial"/>
          <w:color w:val="000000"/>
          <w:lang w:val="ka-GE"/>
        </w:rPr>
        <w:t>ო</w:t>
      </w:r>
      <w:r w:rsidRPr="0007090B">
        <w:rPr>
          <w:rFonts w:ascii="Sylfaen" w:hAnsi="Sylfaen" w:cs="BPG Rioni Arial"/>
          <w:color w:val="000000"/>
          <w:lang w:val="ka-GE"/>
        </w:rPr>
        <w:t>ბის გაზრდა, სამედიცინო სერვისების გამოყენების ზრდა, ფინანსური ბარიერების შემცირება და მოცვის გაფართოვება (ჯანდაცვაზე ჯიბიდან გადახდები – 76% – 2012 წ. და 54% – 2017 წ.), გაიზარდა ფინანსური დაცულობა.</w:t>
      </w:r>
    </w:p>
    <w:p w:rsidR="00665B7A" w:rsidRPr="0007090B" w:rsidRDefault="00665B7A" w:rsidP="00665B7A">
      <w:pPr>
        <w:autoSpaceDE w:val="0"/>
        <w:autoSpaceDN w:val="0"/>
        <w:adjustRightInd w:val="0"/>
        <w:spacing w:after="0" w:line="276" w:lineRule="auto"/>
        <w:jc w:val="both"/>
        <w:textAlignment w:val="center"/>
        <w:rPr>
          <w:rFonts w:ascii="Sylfaen" w:hAnsi="Sylfaen" w:cs="BPG Rioni Arial"/>
          <w:color w:val="000000"/>
          <w:lang w:val="ka-GE"/>
        </w:rPr>
      </w:pPr>
    </w:p>
    <w:p w:rsidR="00665B7A" w:rsidRPr="0007090B" w:rsidRDefault="00665B7A" w:rsidP="00665B7A">
      <w:pPr>
        <w:autoSpaceDE w:val="0"/>
        <w:autoSpaceDN w:val="0"/>
        <w:adjustRightInd w:val="0"/>
        <w:spacing w:after="0" w:line="276" w:lineRule="auto"/>
        <w:jc w:val="both"/>
        <w:textAlignment w:val="center"/>
        <w:rPr>
          <w:rFonts w:ascii="Sylfaen" w:hAnsi="Sylfaen" w:cs="BPG Rioni Arial"/>
          <w:color w:val="000000"/>
          <w:lang w:val="ka-GE"/>
        </w:rPr>
      </w:pPr>
      <w:r w:rsidRPr="0007090B">
        <w:rPr>
          <w:rFonts w:ascii="Sylfaen" w:hAnsi="Sylfaen" w:cs="BPG Rioni Arial"/>
          <w:color w:val="000000"/>
          <w:lang w:val="ka-GE"/>
        </w:rPr>
        <w:t xml:space="preserve">2013 წლიდან დაფიქსირდა სამედიცინო მომსახურების უტილიზაციის ზრდა, 2018 წელს ამბულატორიულ მიმართვათა რაოდენობამ ერთ სულ მოსახლეზე 3.7 შეადგინა (2012 წელს – 2.3), ხოლო ჰოსპიტალიზაციის მაჩვენებელი 100 სულ მოსახლეზე გაიზარდა 8.0-დან (2012) </w:t>
      </w:r>
      <w:r w:rsidRPr="00D23158">
        <w:rPr>
          <w:rFonts w:ascii="Sylfaen" w:hAnsi="Sylfaen" w:cs="BPG Rioni Arial"/>
          <w:color w:val="000000"/>
          <w:lang w:val="ka-GE"/>
        </w:rPr>
        <w:t>16.7</w:t>
      </w:r>
      <w:r w:rsidRPr="0007090B">
        <w:rPr>
          <w:rFonts w:ascii="Sylfaen" w:hAnsi="Sylfaen" w:cs="BPG Rioni Arial"/>
          <w:color w:val="000000"/>
          <w:lang w:val="ka-GE"/>
        </w:rPr>
        <w:t>-მდე (2018).</w:t>
      </w:r>
    </w:p>
    <w:p w:rsidR="00665B7A" w:rsidRPr="0007090B" w:rsidRDefault="00665B7A" w:rsidP="00665B7A">
      <w:pPr>
        <w:autoSpaceDE w:val="0"/>
        <w:autoSpaceDN w:val="0"/>
        <w:adjustRightInd w:val="0"/>
        <w:spacing w:after="0" w:line="276" w:lineRule="auto"/>
        <w:jc w:val="both"/>
        <w:textAlignment w:val="center"/>
        <w:rPr>
          <w:rFonts w:ascii="Sylfaen" w:hAnsi="Sylfaen" w:cs="BPG Rioni Arial"/>
          <w:color w:val="000000"/>
          <w:lang w:val="ka-GE"/>
        </w:rPr>
      </w:pPr>
    </w:p>
    <w:p w:rsidR="00665B7A" w:rsidRPr="0007090B" w:rsidRDefault="00665B7A" w:rsidP="00665B7A">
      <w:pPr>
        <w:autoSpaceDE w:val="0"/>
        <w:autoSpaceDN w:val="0"/>
        <w:adjustRightInd w:val="0"/>
        <w:spacing w:after="0" w:line="276" w:lineRule="auto"/>
        <w:jc w:val="both"/>
        <w:textAlignment w:val="center"/>
        <w:rPr>
          <w:rFonts w:ascii="Sylfaen" w:hAnsi="Sylfaen" w:cs="BPG Rioni Arial"/>
          <w:color w:val="000000"/>
          <w:lang w:val="ka-GE"/>
        </w:rPr>
      </w:pPr>
      <w:r w:rsidRPr="0007090B">
        <w:rPr>
          <w:rFonts w:ascii="Sylfaen" w:hAnsi="Sylfaen" w:cs="BPG Rioni Arial"/>
          <w:color w:val="000000"/>
          <w:lang w:val="ka-GE"/>
        </w:rPr>
        <w:t xml:space="preserve">2017 წლის მაისიდან პროგრამის შემდგომი რეფორმირებისთვის, მიზანშეწონილად ჩაითვალა ბენეფიციარების დიფერენციაციის ახალი კრიტერიუმების შემუშავება, რომლის ამოსავალი წერტილია უფრო მეტად საჭიროებაზე ორიენტირებული სერვისების მიწოდება და მიდგომის – ,,სოციალური სამართლიანობა“ – მეტად განვითარება. </w:t>
      </w:r>
    </w:p>
    <w:p w:rsidR="00665B7A" w:rsidRPr="0007090B" w:rsidRDefault="00665B7A" w:rsidP="00665B7A">
      <w:pPr>
        <w:autoSpaceDE w:val="0"/>
        <w:autoSpaceDN w:val="0"/>
        <w:adjustRightInd w:val="0"/>
        <w:spacing w:after="0" w:line="276" w:lineRule="auto"/>
        <w:jc w:val="both"/>
        <w:textAlignment w:val="center"/>
        <w:rPr>
          <w:rFonts w:ascii="Sylfaen" w:hAnsi="Sylfaen" w:cs="BPG Rioni Arial"/>
          <w:color w:val="000000"/>
          <w:lang w:val="ka-GE"/>
        </w:rPr>
      </w:pPr>
    </w:p>
    <w:p w:rsidR="00665B7A" w:rsidRPr="00D23158" w:rsidRDefault="00665B7A" w:rsidP="00665B7A">
      <w:pPr>
        <w:autoSpaceDE w:val="0"/>
        <w:autoSpaceDN w:val="0"/>
        <w:adjustRightInd w:val="0"/>
        <w:spacing w:after="0" w:line="276" w:lineRule="auto"/>
        <w:jc w:val="both"/>
        <w:textAlignment w:val="center"/>
        <w:rPr>
          <w:rFonts w:ascii="Sylfaen" w:hAnsi="Sylfaen" w:cs="Arial"/>
          <w:szCs w:val="20"/>
          <w:lang w:val="ka-GE"/>
        </w:rPr>
      </w:pPr>
      <w:r w:rsidRPr="00D23158">
        <w:rPr>
          <w:rFonts w:ascii="Sylfaen" w:hAnsi="Sylfaen" w:cs="BPG Rioni Arial"/>
          <w:color w:val="000000"/>
          <w:lang w:val="ka-GE"/>
        </w:rPr>
        <w:t>2017 წლის</w:t>
      </w:r>
      <w:r w:rsidRPr="0007090B">
        <w:rPr>
          <w:rFonts w:ascii="Sylfaen" w:hAnsi="Sylfaen" w:cs="BPG Rioni Arial"/>
          <w:color w:val="000000"/>
          <w:lang w:val="ka-GE"/>
        </w:rPr>
        <w:t xml:space="preserve"> 1 ივლისიდან ქრონიკული დაავადებების მქონე პირთათვის</w:t>
      </w:r>
      <w:r w:rsidRPr="00D23158">
        <w:rPr>
          <w:rFonts w:ascii="Sylfaen" w:hAnsi="Sylfaen" w:cs="BPG Rioni Arial"/>
          <w:color w:val="000000"/>
          <w:lang w:val="ka-GE"/>
        </w:rPr>
        <w:t xml:space="preserve"> </w:t>
      </w:r>
      <w:r w:rsidRPr="0007090B">
        <w:rPr>
          <w:rFonts w:ascii="Sylfaen" w:hAnsi="Sylfaen" w:cs="BPG Rioni Arial"/>
          <w:color w:val="000000"/>
          <w:lang w:val="ka-GE"/>
        </w:rPr>
        <w:t>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w:t>
      </w:r>
      <w:r w:rsidRPr="00D23158">
        <w:rPr>
          <w:rFonts w:ascii="Sylfaen" w:hAnsi="Sylfaen" w:cs="BPG Rioni Arial"/>
          <w:color w:val="000000"/>
          <w:lang w:val="ka-GE"/>
        </w:rPr>
        <w:t>,</w:t>
      </w:r>
      <w:r w:rsidRPr="0007090B">
        <w:rPr>
          <w:rFonts w:ascii="Sylfaen" w:hAnsi="Sylfaen" w:cs="BPG Rioni Arial"/>
          <w:color w:val="000000"/>
          <w:lang w:val="ka-GE"/>
        </w:rPr>
        <w:t xml:space="preserve"> ფარისებრი ჯირკვლის</w:t>
      </w:r>
      <w:r w:rsidRPr="00D23158">
        <w:rPr>
          <w:rFonts w:ascii="Sylfaen" w:hAnsi="Sylfaen" w:cs="BPG Rioni Arial"/>
          <w:color w:val="000000"/>
          <w:lang w:val="ka-GE"/>
        </w:rPr>
        <w:t>, პარკინსონისა და ეპილეფსიის</w:t>
      </w:r>
      <w:r w:rsidRPr="0007090B">
        <w:rPr>
          <w:rFonts w:ascii="Sylfaen" w:hAnsi="Sylfaen" w:cs="BPG Rioni Arial"/>
          <w:color w:val="000000"/>
          <w:lang w:val="ka-GE"/>
        </w:rPr>
        <w:t xml:space="preserve"> დაავადებათა რიგი სამკურნალო მედიკამენტებით პაციენტთა უზრუნველყოფა.</w:t>
      </w:r>
      <w:r w:rsidRPr="00D23158">
        <w:rPr>
          <w:rFonts w:ascii="Sylfaen" w:hAnsi="Sylfaen" w:cs="BPG Rioni Arial"/>
          <w:color w:val="000000"/>
          <w:lang w:val="ka-GE"/>
        </w:rPr>
        <w:t xml:space="preserve"> </w:t>
      </w:r>
      <w:r w:rsidRPr="00D23158">
        <w:rPr>
          <w:lang w:val="ka-GE"/>
        </w:rPr>
        <w:t>201</w:t>
      </w:r>
      <w:r w:rsidRPr="00D23158">
        <w:rPr>
          <w:rFonts w:ascii="Sylfaen" w:hAnsi="Sylfaen"/>
          <w:lang w:val="ka-GE"/>
        </w:rPr>
        <w:t>9</w:t>
      </w:r>
      <w:r w:rsidRPr="00D23158">
        <w:rPr>
          <w:lang w:val="ka-GE"/>
        </w:rPr>
        <w:t xml:space="preserve"> </w:t>
      </w:r>
      <w:r w:rsidRPr="00D23158">
        <w:rPr>
          <w:rFonts w:ascii="Sylfaen" w:hAnsi="Sylfaen"/>
          <w:lang w:val="ka-GE"/>
        </w:rPr>
        <w:t>წლის</w:t>
      </w:r>
      <w:r w:rsidRPr="00D23158">
        <w:rPr>
          <w:lang w:val="ka-GE"/>
        </w:rPr>
        <w:t xml:space="preserve"> </w:t>
      </w:r>
      <w:r w:rsidRPr="00D23158">
        <w:rPr>
          <w:rFonts w:ascii="Sylfaen" w:hAnsi="Sylfaen"/>
          <w:lang w:val="ka-GE"/>
        </w:rPr>
        <w:t>სექტემბრიდან</w:t>
      </w:r>
      <w:r w:rsidRPr="00D23158">
        <w:rPr>
          <w:lang w:val="ka-GE"/>
        </w:rPr>
        <w:t xml:space="preserve"> </w:t>
      </w:r>
      <w:r w:rsidRPr="00D23158">
        <w:rPr>
          <w:rFonts w:ascii="Sylfaen" w:hAnsi="Sylfaen"/>
          <w:lang w:val="ka-GE"/>
        </w:rPr>
        <w:t>ქრონიკული</w:t>
      </w:r>
      <w:r w:rsidRPr="00D23158">
        <w:rPr>
          <w:lang w:val="ka-GE"/>
        </w:rPr>
        <w:t xml:space="preserve"> </w:t>
      </w:r>
      <w:r w:rsidRPr="00D23158">
        <w:rPr>
          <w:rFonts w:ascii="Sylfaen" w:hAnsi="Sylfaen"/>
          <w:lang w:val="ka-GE"/>
        </w:rPr>
        <w:t>დაავადებების</w:t>
      </w:r>
      <w:r w:rsidRPr="00D23158">
        <w:rPr>
          <w:lang w:val="ka-GE"/>
        </w:rPr>
        <w:t xml:space="preserve"> </w:t>
      </w:r>
      <w:r w:rsidRPr="00D23158">
        <w:rPr>
          <w:rFonts w:ascii="Sylfaen" w:hAnsi="Sylfaen"/>
          <w:lang w:val="ka-GE"/>
        </w:rPr>
        <w:t>სამკურნალო</w:t>
      </w:r>
      <w:r w:rsidRPr="00D23158">
        <w:rPr>
          <w:lang w:val="ka-GE"/>
        </w:rPr>
        <w:t xml:space="preserve"> </w:t>
      </w:r>
      <w:r w:rsidRPr="00D23158">
        <w:rPr>
          <w:rFonts w:ascii="Sylfaen" w:hAnsi="Sylfaen"/>
          <w:lang w:val="ka-GE"/>
        </w:rPr>
        <w:t>მედიკამენტებით</w:t>
      </w:r>
      <w:r w:rsidRPr="00D23158">
        <w:rPr>
          <w:lang w:val="ka-GE"/>
        </w:rPr>
        <w:t xml:space="preserve"> </w:t>
      </w:r>
      <w:r w:rsidRPr="00D23158">
        <w:rPr>
          <w:rFonts w:ascii="Sylfaen" w:hAnsi="Sylfaen"/>
          <w:lang w:val="ka-GE"/>
        </w:rPr>
        <w:t>უზრუნველყოფის</w:t>
      </w:r>
      <w:r w:rsidRPr="00D23158">
        <w:rPr>
          <w:lang w:val="ka-GE"/>
        </w:rPr>
        <w:t xml:space="preserve"> </w:t>
      </w:r>
      <w:r w:rsidRPr="00D23158">
        <w:rPr>
          <w:rFonts w:ascii="Sylfaen" w:hAnsi="Sylfaen"/>
          <w:lang w:val="ka-GE"/>
        </w:rPr>
        <w:t xml:space="preserve">პროგრამის მოსარგებლეებს დაემატა ვეტერანები. </w:t>
      </w:r>
      <w:r w:rsidRPr="00D23158">
        <w:rPr>
          <w:rFonts w:ascii="Sylfaen" w:hAnsi="Sylfaen" w:cs="Sylfaen"/>
          <w:szCs w:val="20"/>
          <w:lang w:val="ka-GE"/>
        </w:rPr>
        <w:t>ისინი</w:t>
      </w:r>
      <w:r w:rsidRPr="00D23158">
        <w:rPr>
          <w:rFonts w:ascii="Sylfaen" w:hAnsi="Sylfaen" w:cs="Arial"/>
          <w:szCs w:val="20"/>
          <w:lang w:val="ka-GE"/>
        </w:rPr>
        <w:t xml:space="preserve"> </w:t>
      </w:r>
      <w:r w:rsidRPr="00D23158">
        <w:rPr>
          <w:rFonts w:ascii="Sylfaen" w:hAnsi="Sylfaen" w:cs="Sylfaen"/>
          <w:szCs w:val="20"/>
          <w:lang w:val="ka-GE"/>
        </w:rPr>
        <w:t>იღებენ</w:t>
      </w:r>
      <w:r w:rsidRPr="00D23158">
        <w:rPr>
          <w:rFonts w:ascii="Sylfaen" w:hAnsi="Sylfaen" w:cs="Arial"/>
          <w:szCs w:val="20"/>
          <w:lang w:val="ka-GE"/>
        </w:rPr>
        <w:t xml:space="preserve"> </w:t>
      </w:r>
      <w:r w:rsidRPr="00D23158">
        <w:rPr>
          <w:rFonts w:ascii="Sylfaen" w:hAnsi="Sylfaen" w:cs="Sylfaen"/>
          <w:szCs w:val="20"/>
          <w:lang w:val="ka-GE"/>
        </w:rPr>
        <w:t>მედიკამენტებს</w:t>
      </w:r>
      <w:r w:rsidRPr="00D23158">
        <w:rPr>
          <w:rFonts w:ascii="Sylfaen" w:hAnsi="Sylfaen" w:cs="Arial"/>
          <w:szCs w:val="20"/>
          <w:lang w:val="ka-GE"/>
        </w:rPr>
        <w:t xml:space="preserve"> </w:t>
      </w:r>
      <w:r w:rsidRPr="00D23158">
        <w:rPr>
          <w:rFonts w:ascii="Sylfaen" w:hAnsi="Sylfaen" w:cs="Sylfaen"/>
          <w:szCs w:val="20"/>
          <w:lang w:val="ka-GE"/>
        </w:rPr>
        <w:t>სიმბოლურ</w:t>
      </w:r>
      <w:r w:rsidRPr="00D23158">
        <w:rPr>
          <w:rFonts w:ascii="Sylfaen" w:hAnsi="Sylfaen" w:cs="Arial"/>
          <w:szCs w:val="20"/>
          <w:lang w:val="ka-GE"/>
        </w:rPr>
        <w:t xml:space="preserve"> 1 </w:t>
      </w:r>
      <w:r w:rsidRPr="00D23158">
        <w:rPr>
          <w:rFonts w:ascii="Sylfaen" w:hAnsi="Sylfaen" w:cs="Sylfaen"/>
          <w:szCs w:val="20"/>
          <w:lang w:val="ka-GE"/>
        </w:rPr>
        <w:t>ლარად</w:t>
      </w:r>
      <w:r w:rsidRPr="00D23158">
        <w:rPr>
          <w:rFonts w:ascii="Sylfaen" w:hAnsi="Sylfaen" w:cs="Arial"/>
          <w:szCs w:val="20"/>
          <w:lang w:val="ka-GE"/>
        </w:rPr>
        <w:t xml:space="preserve">, </w:t>
      </w:r>
      <w:r w:rsidRPr="00D23158">
        <w:rPr>
          <w:rFonts w:ascii="Sylfaen" w:hAnsi="Sylfaen" w:cs="Sylfaen"/>
          <w:szCs w:val="20"/>
          <w:lang w:val="ka-GE"/>
        </w:rPr>
        <w:t>საპენსიო</w:t>
      </w:r>
      <w:r w:rsidRPr="00D23158">
        <w:rPr>
          <w:rFonts w:ascii="Sylfaen" w:hAnsi="Sylfaen" w:cs="Arial"/>
          <w:szCs w:val="20"/>
          <w:lang w:val="ka-GE"/>
        </w:rPr>
        <w:t xml:space="preserve"> </w:t>
      </w:r>
      <w:r w:rsidRPr="00D23158">
        <w:rPr>
          <w:rFonts w:ascii="Sylfaen" w:hAnsi="Sylfaen" w:cs="Sylfaen"/>
          <w:szCs w:val="20"/>
          <w:lang w:val="ka-GE"/>
        </w:rPr>
        <w:t>ასაკის</w:t>
      </w:r>
      <w:r w:rsidRPr="00D23158">
        <w:rPr>
          <w:rFonts w:ascii="Sylfaen" w:hAnsi="Sylfaen" w:cs="Arial"/>
          <w:szCs w:val="20"/>
          <w:lang w:val="ka-GE"/>
        </w:rPr>
        <w:t xml:space="preserve"> </w:t>
      </w:r>
      <w:r w:rsidRPr="00D23158">
        <w:rPr>
          <w:rFonts w:ascii="Sylfaen" w:hAnsi="Sylfaen" w:cs="Sylfaen"/>
          <w:szCs w:val="20"/>
          <w:lang w:val="ka-GE"/>
        </w:rPr>
        <w:t>მოსახლეობის</w:t>
      </w:r>
      <w:r w:rsidRPr="00D23158">
        <w:rPr>
          <w:rFonts w:ascii="Sylfaen" w:hAnsi="Sylfaen" w:cs="Arial"/>
          <w:szCs w:val="20"/>
          <w:lang w:val="ka-GE"/>
        </w:rPr>
        <w:t xml:space="preserve">, </w:t>
      </w:r>
      <w:r w:rsidRPr="00D23158">
        <w:rPr>
          <w:rFonts w:ascii="Sylfaen" w:hAnsi="Sylfaen" w:cs="Sylfaen"/>
          <w:szCs w:val="20"/>
          <w:lang w:val="ka-GE"/>
        </w:rPr>
        <w:t>შეზღუდული</w:t>
      </w:r>
      <w:r w:rsidRPr="00D23158">
        <w:rPr>
          <w:rFonts w:ascii="Sylfaen" w:hAnsi="Sylfaen" w:cs="Arial"/>
          <w:szCs w:val="20"/>
          <w:lang w:val="ka-GE"/>
        </w:rPr>
        <w:t xml:space="preserve"> </w:t>
      </w:r>
      <w:r w:rsidRPr="00D23158">
        <w:rPr>
          <w:rFonts w:ascii="Sylfaen" w:hAnsi="Sylfaen" w:cs="Sylfaen"/>
          <w:szCs w:val="20"/>
          <w:lang w:val="ka-GE"/>
        </w:rPr>
        <w:t>შესაძლებლობის</w:t>
      </w:r>
      <w:r w:rsidRPr="00D23158">
        <w:rPr>
          <w:rFonts w:ascii="Sylfaen" w:hAnsi="Sylfaen" w:cs="Arial"/>
          <w:szCs w:val="20"/>
          <w:lang w:val="ka-GE"/>
        </w:rPr>
        <w:t xml:space="preserve"> </w:t>
      </w:r>
      <w:r w:rsidRPr="00D23158">
        <w:rPr>
          <w:rFonts w:ascii="Sylfaen" w:hAnsi="Sylfaen" w:cs="Sylfaen"/>
          <w:szCs w:val="20"/>
          <w:lang w:val="ka-GE"/>
        </w:rPr>
        <w:t>სტატუსის</w:t>
      </w:r>
      <w:r w:rsidRPr="00D23158">
        <w:rPr>
          <w:rFonts w:ascii="Sylfaen" w:hAnsi="Sylfaen" w:cs="Arial"/>
          <w:szCs w:val="20"/>
          <w:lang w:val="ka-GE"/>
        </w:rPr>
        <w:t xml:space="preserve"> </w:t>
      </w:r>
      <w:r w:rsidRPr="00D23158">
        <w:rPr>
          <w:rFonts w:ascii="Sylfaen" w:hAnsi="Sylfaen" w:cs="Sylfaen"/>
          <w:szCs w:val="20"/>
          <w:lang w:val="ka-GE"/>
        </w:rPr>
        <w:t>მქონე</w:t>
      </w:r>
      <w:r w:rsidRPr="00D23158">
        <w:rPr>
          <w:rFonts w:ascii="Sylfaen" w:hAnsi="Sylfaen" w:cs="Arial"/>
          <w:szCs w:val="20"/>
          <w:lang w:val="ka-GE"/>
        </w:rPr>
        <w:t xml:space="preserve"> </w:t>
      </w:r>
      <w:r w:rsidRPr="00D23158">
        <w:rPr>
          <w:rFonts w:ascii="Sylfaen" w:hAnsi="Sylfaen" w:cs="Sylfaen"/>
          <w:szCs w:val="20"/>
          <w:lang w:val="ka-GE"/>
        </w:rPr>
        <w:t>ბავშვებისა</w:t>
      </w:r>
      <w:r w:rsidRPr="00D23158">
        <w:rPr>
          <w:rFonts w:ascii="Sylfaen" w:hAnsi="Sylfaen" w:cs="Arial"/>
          <w:szCs w:val="20"/>
          <w:lang w:val="ka-GE"/>
        </w:rPr>
        <w:t xml:space="preserve"> </w:t>
      </w:r>
      <w:r w:rsidRPr="00D23158">
        <w:rPr>
          <w:rFonts w:ascii="Sylfaen" w:hAnsi="Sylfaen" w:cs="Sylfaen"/>
          <w:szCs w:val="20"/>
          <w:lang w:val="ka-GE"/>
        </w:rPr>
        <w:t>და</w:t>
      </w:r>
      <w:r w:rsidRPr="00D23158">
        <w:rPr>
          <w:rFonts w:ascii="Sylfaen" w:hAnsi="Sylfaen" w:cs="Arial"/>
          <w:szCs w:val="20"/>
          <w:lang w:val="ka-GE"/>
        </w:rPr>
        <w:t xml:space="preserve"> </w:t>
      </w:r>
      <w:r w:rsidRPr="00D23158">
        <w:rPr>
          <w:rFonts w:ascii="Sylfaen" w:hAnsi="Sylfaen" w:cs="Sylfaen"/>
          <w:szCs w:val="20"/>
          <w:lang w:val="ka-GE"/>
        </w:rPr>
        <w:t>აგრეთვე</w:t>
      </w:r>
      <w:r w:rsidRPr="00D23158">
        <w:rPr>
          <w:rFonts w:ascii="Sylfaen" w:hAnsi="Sylfaen" w:cs="Arial"/>
          <w:szCs w:val="20"/>
          <w:lang w:val="ka-GE"/>
        </w:rPr>
        <w:t xml:space="preserve"> </w:t>
      </w:r>
      <w:r w:rsidRPr="00D23158">
        <w:rPr>
          <w:rFonts w:ascii="Sylfaen" w:hAnsi="Sylfaen" w:cs="Sylfaen"/>
          <w:szCs w:val="20"/>
          <w:lang w:val="ka-GE"/>
        </w:rPr>
        <w:t>მკვეთრად</w:t>
      </w:r>
      <w:r w:rsidRPr="00D23158">
        <w:rPr>
          <w:rFonts w:ascii="Sylfaen" w:hAnsi="Sylfaen" w:cs="Arial"/>
          <w:szCs w:val="20"/>
          <w:lang w:val="ka-GE"/>
        </w:rPr>
        <w:t xml:space="preserve"> </w:t>
      </w:r>
      <w:r w:rsidRPr="00D23158">
        <w:rPr>
          <w:rFonts w:ascii="Sylfaen" w:hAnsi="Sylfaen" w:cs="Sylfaen"/>
          <w:szCs w:val="20"/>
          <w:lang w:val="ka-GE"/>
        </w:rPr>
        <w:t>ან</w:t>
      </w:r>
      <w:r w:rsidRPr="00D23158">
        <w:rPr>
          <w:rFonts w:ascii="Sylfaen" w:hAnsi="Sylfaen" w:cs="Arial"/>
          <w:szCs w:val="20"/>
          <w:lang w:val="ka-GE"/>
        </w:rPr>
        <w:t xml:space="preserve"> </w:t>
      </w:r>
      <w:r w:rsidRPr="00D23158">
        <w:rPr>
          <w:rFonts w:ascii="Sylfaen" w:hAnsi="Sylfaen" w:cs="Sylfaen"/>
          <w:szCs w:val="20"/>
          <w:lang w:val="ka-GE"/>
        </w:rPr>
        <w:t>მნიშვნელოვნად</w:t>
      </w:r>
      <w:r w:rsidRPr="00D23158">
        <w:rPr>
          <w:rFonts w:ascii="Sylfaen" w:hAnsi="Sylfaen" w:cs="Arial"/>
          <w:szCs w:val="20"/>
          <w:lang w:val="ka-GE"/>
        </w:rPr>
        <w:t xml:space="preserve"> </w:t>
      </w:r>
      <w:r w:rsidRPr="00D23158">
        <w:rPr>
          <w:rFonts w:ascii="Sylfaen" w:hAnsi="Sylfaen" w:cs="Sylfaen"/>
          <w:szCs w:val="20"/>
          <w:lang w:val="ka-GE"/>
        </w:rPr>
        <w:t>გამოხატული</w:t>
      </w:r>
      <w:r w:rsidRPr="00D23158">
        <w:rPr>
          <w:rFonts w:ascii="Sylfaen" w:hAnsi="Sylfaen" w:cs="Arial"/>
          <w:szCs w:val="20"/>
          <w:lang w:val="ka-GE"/>
        </w:rPr>
        <w:t xml:space="preserve"> </w:t>
      </w:r>
      <w:r w:rsidRPr="00D23158">
        <w:rPr>
          <w:rFonts w:ascii="Sylfaen" w:hAnsi="Sylfaen" w:cs="Sylfaen"/>
          <w:szCs w:val="20"/>
          <w:lang w:val="ka-GE"/>
        </w:rPr>
        <w:t>შეზღუდული</w:t>
      </w:r>
      <w:r w:rsidRPr="00D23158">
        <w:rPr>
          <w:rFonts w:ascii="Sylfaen" w:hAnsi="Sylfaen" w:cs="Arial"/>
          <w:szCs w:val="20"/>
          <w:lang w:val="ka-GE"/>
        </w:rPr>
        <w:t xml:space="preserve"> </w:t>
      </w:r>
      <w:r w:rsidRPr="00D23158">
        <w:rPr>
          <w:rFonts w:ascii="Sylfaen" w:hAnsi="Sylfaen" w:cs="Sylfaen"/>
          <w:szCs w:val="20"/>
          <w:lang w:val="ka-GE"/>
        </w:rPr>
        <w:t>შესაძლებლობის</w:t>
      </w:r>
      <w:r w:rsidRPr="00D23158">
        <w:rPr>
          <w:rFonts w:ascii="Sylfaen" w:hAnsi="Sylfaen" w:cs="Arial"/>
          <w:szCs w:val="20"/>
          <w:lang w:val="ka-GE"/>
        </w:rPr>
        <w:t xml:space="preserve"> </w:t>
      </w:r>
      <w:r w:rsidRPr="00D23158">
        <w:rPr>
          <w:rFonts w:ascii="Sylfaen" w:hAnsi="Sylfaen" w:cs="Sylfaen"/>
          <w:szCs w:val="20"/>
          <w:lang w:val="ka-GE"/>
        </w:rPr>
        <w:t>სტატუსის</w:t>
      </w:r>
      <w:r w:rsidRPr="00D23158">
        <w:rPr>
          <w:rFonts w:ascii="Sylfaen" w:hAnsi="Sylfaen" w:cs="Arial"/>
          <w:szCs w:val="20"/>
          <w:lang w:val="ka-GE"/>
        </w:rPr>
        <w:t xml:space="preserve"> </w:t>
      </w:r>
      <w:r w:rsidRPr="00D23158">
        <w:rPr>
          <w:rFonts w:ascii="Sylfaen" w:hAnsi="Sylfaen" w:cs="Sylfaen"/>
          <w:szCs w:val="20"/>
          <w:lang w:val="ka-GE"/>
        </w:rPr>
        <w:t>მქონე</w:t>
      </w:r>
      <w:r w:rsidRPr="00D23158">
        <w:rPr>
          <w:rFonts w:ascii="Sylfaen" w:hAnsi="Sylfaen" w:cs="Arial"/>
          <w:szCs w:val="20"/>
          <w:lang w:val="ka-GE"/>
        </w:rPr>
        <w:t xml:space="preserve"> </w:t>
      </w:r>
      <w:r w:rsidRPr="00D23158">
        <w:rPr>
          <w:rFonts w:ascii="Sylfaen" w:hAnsi="Sylfaen" w:cs="Sylfaen"/>
          <w:szCs w:val="20"/>
          <w:lang w:val="ka-GE"/>
        </w:rPr>
        <w:t>პირებისა და</w:t>
      </w:r>
      <w:r w:rsidRPr="00D23158">
        <w:rPr>
          <w:rFonts w:ascii="Sylfaen" w:hAnsi="Sylfaen" w:cs="Arial"/>
          <w:szCs w:val="20"/>
          <w:lang w:val="ka-GE"/>
        </w:rPr>
        <w:t xml:space="preserve"> </w:t>
      </w:r>
      <w:r w:rsidRPr="00D23158">
        <w:rPr>
          <w:rFonts w:ascii="Sylfaen" w:hAnsi="Sylfaen" w:cs="Sylfaen"/>
          <w:szCs w:val="20"/>
          <w:lang w:val="ka-GE"/>
        </w:rPr>
        <w:t>სოციალურად</w:t>
      </w:r>
      <w:r w:rsidRPr="00D23158">
        <w:rPr>
          <w:rFonts w:ascii="Sylfaen" w:hAnsi="Sylfaen" w:cs="Arial"/>
          <w:szCs w:val="20"/>
          <w:lang w:val="ka-GE"/>
        </w:rPr>
        <w:t xml:space="preserve"> </w:t>
      </w:r>
      <w:r w:rsidRPr="00D23158">
        <w:rPr>
          <w:rFonts w:ascii="Sylfaen" w:hAnsi="Sylfaen" w:cs="Sylfaen"/>
          <w:szCs w:val="20"/>
          <w:lang w:val="ka-GE"/>
        </w:rPr>
        <w:t>დაუცველთა</w:t>
      </w:r>
      <w:r w:rsidRPr="00D23158">
        <w:rPr>
          <w:rFonts w:ascii="Sylfaen" w:hAnsi="Sylfaen" w:cs="Arial"/>
          <w:szCs w:val="20"/>
          <w:lang w:val="ka-GE"/>
        </w:rPr>
        <w:t xml:space="preserve"> </w:t>
      </w:r>
      <w:r w:rsidRPr="00D23158">
        <w:rPr>
          <w:rFonts w:ascii="Sylfaen" w:hAnsi="Sylfaen" w:cs="Sylfaen"/>
          <w:szCs w:val="20"/>
          <w:lang w:val="ka-GE"/>
        </w:rPr>
        <w:t>მსგავსად</w:t>
      </w:r>
      <w:r w:rsidRPr="00D23158">
        <w:rPr>
          <w:rFonts w:ascii="Sylfaen" w:hAnsi="Sylfaen" w:cs="Arial"/>
          <w:szCs w:val="20"/>
          <w:lang w:val="ka-GE"/>
        </w:rPr>
        <w:t>.</w:t>
      </w:r>
    </w:p>
    <w:p w:rsidR="00665B7A" w:rsidRPr="00D23158" w:rsidRDefault="00665B7A" w:rsidP="00665B7A">
      <w:pPr>
        <w:autoSpaceDE w:val="0"/>
        <w:autoSpaceDN w:val="0"/>
        <w:adjustRightInd w:val="0"/>
        <w:spacing w:after="0" w:line="276" w:lineRule="auto"/>
        <w:jc w:val="both"/>
        <w:textAlignment w:val="center"/>
        <w:rPr>
          <w:rFonts w:ascii="Sylfaen" w:hAnsi="Sylfaen" w:cs="Arial"/>
          <w:szCs w:val="20"/>
          <w:lang w:val="ka-GE"/>
        </w:rPr>
      </w:pPr>
    </w:p>
    <w:p w:rsidR="00665B7A" w:rsidRPr="00D23158" w:rsidRDefault="00665B7A" w:rsidP="00665B7A">
      <w:pPr>
        <w:jc w:val="both"/>
        <w:rPr>
          <w:rFonts w:ascii="Sylfaen" w:hAnsi="Sylfaen"/>
          <w:lang w:val="ka-GE"/>
        </w:rPr>
      </w:pPr>
      <w:r w:rsidRPr="00D23158">
        <w:rPr>
          <w:rFonts w:ascii="Sylfaen" w:hAnsi="Sylfaen"/>
          <w:lang w:val="ka-GE"/>
        </w:rPr>
        <w:t xml:space="preserve">2016 </w:t>
      </w:r>
      <w:r w:rsidRPr="00D23158">
        <w:rPr>
          <w:rFonts w:ascii="Sylfaen" w:hAnsi="Sylfaen" w:cs="Sylfaen"/>
          <w:lang w:val="ka-GE"/>
        </w:rPr>
        <w:t>წლიდან</w:t>
      </w:r>
      <w:r w:rsidRPr="00D23158">
        <w:rPr>
          <w:rFonts w:ascii="Sylfaen" w:hAnsi="Sylfaen"/>
          <w:lang w:val="ka-GE"/>
        </w:rPr>
        <w:t xml:space="preserve"> </w:t>
      </w:r>
      <w:r w:rsidRPr="00D23158">
        <w:rPr>
          <w:rFonts w:ascii="Sylfaen" w:hAnsi="Sylfaen" w:cs="Sylfaen"/>
          <w:lang w:val="ka-GE"/>
        </w:rPr>
        <w:t>სამინისტრომ</w:t>
      </w:r>
      <w:r w:rsidRPr="00D23158">
        <w:rPr>
          <w:rFonts w:ascii="Sylfaen" w:hAnsi="Sylfaen"/>
          <w:lang w:val="ka-GE"/>
        </w:rPr>
        <w:t xml:space="preserve"> </w:t>
      </w:r>
      <w:r w:rsidRPr="00D23158">
        <w:rPr>
          <w:rFonts w:ascii="Sylfaen" w:hAnsi="Sylfaen" w:cs="Sylfaen"/>
          <w:lang w:val="ka-GE"/>
        </w:rPr>
        <w:t>დაიწყო</w:t>
      </w:r>
      <w:r w:rsidRPr="00D23158">
        <w:rPr>
          <w:rFonts w:ascii="Sylfaen" w:hAnsi="Sylfaen"/>
          <w:lang w:val="ka-GE"/>
        </w:rPr>
        <w:t xml:space="preserve">  </w:t>
      </w:r>
      <w:r w:rsidRPr="00D23158">
        <w:rPr>
          <w:rFonts w:ascii="Sylfaen" w:hAnsi="Sylfaen" w:cs="Sylfaen"/>
          <w:lang w:val="ka-GE"/>
        </w:rPr>
        <w:t>ძუძუს</w:t>
      </w:r>
      <w:r w:rsidRPr="00D23158">
        <w:rPr>
          <w:rFonts w:ascii="Sylfaen" w:hAnsi="Sylfaen"/>
          <w:lang w:val="ka-GE"/>
        </w:rPr>
        <w:t xml:space="preserve"> </w:t>
      </w:r>
      <w:r w:rsidRPr="00D23158">
        <w:rPr>
          <w:rFonts w:ascii="Sylfaen" w:hAnsi="Sylfaen" w:cs="Sylfaen"/>
          <w:lang w:val="ka-GE"/>
        </w:rPr>
        <w:t>ადრეული</w:t>
      </w:r>
      <w:r w:rsidRPr="00D23158">
        <w:rPr>
          <w:rFonts w:ascii="Sylfaen" w:hAnsi="Sylfaen"/>
          <w:lang w:val="ka-GE"/>
        </w:rPr>
        <w:t xml:space="preserve"> </w:t>
      </w:r>
      <w:r w:rsidRPr="00D23158">
        <w:rPr>
          <w:rFonts w:ascii="Sylfaen" w:hAnsi="Sylfaen" w:cs="Sylfaen"/>
          <w:lang w:val="ka-GE"/>
        </w:rPr>
        <w:t>კიბოს</w:t>
      </w:r>
      <w:r w:rsidRPr="00D23158">
        <w:rPr>
          <w:rFonts w:ascii="Sylfaen" w:hAnsi="Sylfaen"/>
          <w:lang w:val="ka-GE"/>
        </w:rPr>
        <w:t xml:space="preserve"> (</w:t>
      </w:r>
      <w:r w:rsidRPr="00D23158">
        <w:rPr>
          <w:rFonts w:ascii="Sylfaen" w:hAnsi="Sylfaen" w:cs="Sylfaen"/>
          <w:lang w:val="ka-GE"/>
        </w:rPr>
        <w:t>აგრესიული</w:t>
      </w:r>
      <w:r w:rsidRPr="00D23158">
        <w:rPr>
          <w:rFonts w:ascii="Sylfaen" w:hAnsi="Sylfaen"/>
          <w:lang w:val="ka-GE"/>
        </w:rPr>
        <w:t xml:space="preserve"> HER-2 </w:t>
      </w:r>
      <w:r w:rsidRPr="00D23158">
        <w:rPr>
          <w:rFonts w:ascii="Sylfaen" w:hAnsi="Sylfaen" w:cs="Sylfaen"/>
          <w:lang w:val="ka-GE"/>
        </w:rPr>
        <w:t>რეცეპტორდადებითი)</w:t>
      </w:r>
      <w:r w:rsidRPr="00D23158">
        <w:rPr>
          <w:rFonts w:ascii="Sylfaen" w:hAnsi="Sylfaen"/>
          <w:lang w:val="ka-GE"/>
        </w:rPr>
        <w:t xml:space="preserve"> </w:t>
      </w:r>
      <w:r w:rsidRPr="00D23158">
        <w:rPr>
          <w:rFonts w:ascii="Sylfaen" w:hAnsi="Sylfaen" w:cs="Sylfaen"/>
          <w:lang w:val="ka-GE"/>
        </w:rPr>
        <w:t>დიაგნოზის</w:t>
      </w:r>
      <w:r w:rsidRPr="00D23158">
        <w:rPr>
          <w:rFonts w:ascii="Sylfaen" w:hAnsi="Sylfaen"/>
          <w:lang w:val="ka-GE"/>
        </w:rPr>
        <w:t xml:space="preserve"> </w:t>
      </w:r>
      <w:r w:rsidRPr="00D23158">
        <w:rPr>
          <w:rFonts w:ascii="Sylfaen" w:hAnsi="Sylfaen" w:cs="Sylfaen"/>
          <w:lang w:val="ka-GE"/>
        </w:rPr>
        <w:t>მქონე</w:t>
      </w:r>
      <w:r w:rsidRPr="00D23158">
        <w:rPr>
          <w:rFonts w:ascii="Sylfaen" w:hAnsi="Sylfaen"/>
          <w:lang w:val="ka-GE"/>
        </w:rPr>
        <w:t xml:space="preserve"> </w:t>
      </w:r>
      <w:r w:rsidRPr="00D23158">
        <w:rPr>
          <w:rFonts w:ascii="Sylfaen" w:hAnsi="Sylfaen" w:cs="Sylfaen"/>
          <w:lang w:val="ka-GE"/>
        </w:rPr>
        <w:t>პირების</w:t>
      </w:r>
      <w:r w:rsidRPr="00D23158">
        <w:rPr>
          <w:rFonts w:ascii="Sylfaen" w:hAnsi="Sylfaen"/>
          <w:lang w:val="ka-GE"/>
        </w:rPr>
        <w:t xml:space="preserve">  </w:t>
      </w:r>
      <w:r w:rsidRPr="00D23158">
        <w:rPr>
          <w:rFonts w:ascii="Sylfaen" w:hAnsi="Sylfaen" w:cs="Sylfaen"/>
          <w:lang w:val="ka-GE"/>
        </w:rPr>
        <w:t>ძვირადღირებული</w:t>
      </w:r>
      <w:r w:rsidRPr="00D23158">
        <w:rPr>
          <w:rFonts w:ascii="Sylfaen" w:hAnsi="Sylfaen"/>
          <w:lang w:val="ka-GE"/>
        </w:rPr>
        <w:t xml:space="preserve"> </w:t>
      </w:r>
      <w:r w:rsidRPr="00D23158">
        <w:rPr>
          <w:rFonts w:ascii="Sylfaen" w:hAnsi="Sylfaen" w:cs="Sylfaen"/>
          <w:lang w:val="ka-GE"/>
        </w:rPr>
        <w:t>მედიკამენტით</w:t>
      </w:r>
      <w:r w:rsidRPr="00D23158">
        <w:rPr>
          <w:rFonts w:ascii="Sylfaen" w:hAnsi="Sylfaen"/>
          <w:lang w:val="ka-GE"/>
        </w:rPr>
        <w:t xml:space="preserve"> </w:t>
      </w:r>
      <w:r w:rsidRPr="00D23158">
        <w:rPr>
          <w:rFonts w:ascii="Sylfaen" w:hAnsi="Sylfaen" w:cs="Sylfaen"/>
          <w:lang w:val="ka-GE"/>
        </w:rPr>
        <w:t>უზრუნველყოფა</w:t>
      </w:r>
      <w:r w:rsidRPr="00D23158">
        <w:rPr>
          <w:rFonts w:ascii="Sylfaen" w:hAnsi="Sylfaen"/>
          <w:lang w:val="ka-GE"/>
        </w:rPr>
        <w:t xml:space="preserve"> (იფარება ღირებულების 80%). 2019 წლიდან კი </w:t>
      </w:r>
      <w:r w:rsidRPr="00D23158">
        <w:rPr>
          <w:rFonts w:ascii="Sylfaen" w:hAnsi="Sylfaen" w:cs="Sylfaen"/>
          <w:lang w:val="ka-GE"/>
        </w:rPr>
        <w:t>დაიწყო</w:t>
      </w:r>
      <w:r w:rsidRPr="00D23158">
        <w:rPr>
          <w:rFonts w:ascii="Sylfaen" w:hAnsi="Sylfaen"/>
          <w:lang w:val="ka-GE"/>
        </w:rPr>
        <w:t xml:space="preserve">  </w:t>
      </w:r>
      <w:r w:rsidRPr="00D23158">
        <w:rPr>
          <w:rFonts w:ascii="Sylfaen" w:eastAsia="Sylfaen" w:hAnsi="Sylfaen"/>
          <w:lang w:val="ka-GE"/>
        </w:rPr>
        <w:t>HER-2 რეცეპტორ-</w:t>
      </w:r>
      <w:r w:rsidRPr="00D23158">
        <w:rPr>
          <w:rFonts w:ascii="Sylfaen" w:eastAsia="Sylfaen" w:hAnsi="Sylfaen"/>
          <w:lang w:val="ka-GE"/>
        </w:rPr>
        <w:lastRenderedPageBreak/>
        <w:t>დადებითი ძუძუს მეტასტაზური კიბოს დიაგნოზის მქონე პირების მედიკამენტებით ნაწილობრივი ან სრულად უზრუნველყოფა.</w:t>
      </w:r>
    </w:p>
    <w:p w:rsidR="00665B7A" w:rsidRPr="00D23158" w:rsidRDefault="00665B7A" w:rsidP="00665B7A">
      <w:pPr>
        <w:autoSpaceDE w:val="0"/>
        <w:autoSpaceDN w:val="0"/>
        <w:adjustRightInd w:val="0"/>
        <w:spacing w:after="0" w:line="276" w:lineRule="auto"/>
        <w:jc w:val="both"/>
        <w:textAlignment w:val="center"/>
        <w:rPr>
          <w:rFonts w:ascii="Sylfaen" w:hAnsi="Sylfaen" w:cs="BPG Rioni Arial"/>
          <w:color w:val="000000"/>
          <w:lang w:val="ka-GE"/>
        </w:rPr>
      </w:pPr>
      <w:r w:rsidRPr="00D23158">
        <w:rPr>
          <w:rFonts w:ascii="Sylfaen" w:hAnsi="Sylfaen" w:cs="BPG Rioni Arial"/>
          <w:color w:val="000000"/>
          <w:lang w:val="ka-GE"/>
        </w:rPr>
        <w:t xml:space="preserve">www.who.int/en, www.un.org, </w:t>
      </w:r>
      <w:hyperlink r:id="rId4" w:history="1">
        <w:r w:rsidRPr="00D23158">
          <w:rPr>
            <w:rFonts w:ascii="Sylfaen" w:hAnsi="Sylfaen" w:cs="BPG Rioni Arial"/>
            <w:color w:val="0563C1" w:themeColor="hyperlink"/>
            <w:u w:val="single"/>
            <w:lang w:val="ka-GE"/>
          </w:rPr>
          <w:t>www.moh.gov.ge</w:t>
        </w:r>
      </w:hyperlink>
    </w:p>
    <w:p w:rsidR="003979CE" w:rsidRPr="00665B7A" w:rsidRDefault="003979CE">
      <w:pPr>
        <w:rPr>
          <w:lang w:val="ka-GE"/>
        </w:rPr>
      </w:pPr>
    </w:p>
    <w:sectPr w:rsidR="003979CE" w:rsidRPr="00665B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BPG Nino Mtavruli">
    <w:panose1 w:val="02000806000000020004"/>
    <w:charset w:val="00"/>
    <w:family w:val="auto"/>
    <w:pitch w:val="variable"/>
    <w:sig w:usb0="84000027" w:usb1="1000004A" w:usb2="00000000" w:usb3="00000000" w:csb0="00000001" w:csb1="00000000"/>
  </w:font>
  <w:font w:name="BPG Rioni Arial">
    <w:altName w:val="Arial"/>
    <w:panose1 w:val="00000000000000000000"/>
    <w:charset w:val="00"/>
    <w:family w:val="swiss"/>
    <w:notTrueType/>
    <w:pitch w:val="variable"/>
    <w:sig w:usb0="00000000" w:usb1="D00078FB"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B7A"/>
    <w:rsid w:val="003979CE"/>
    <w:rsid w:val="00665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D5945F-F1A7-4ECA-87E8-049C8BE15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B7A"/>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h.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 Giorgadze</dc:creator>
  <cp:keywords/>
  <dc:description/>
  <cp:lastModifiedBy>Ia Giorgadze</cp:lastModifiedBy>
  <cp:revision>1</cp:revision>
  <dcterms:created xsi:type="dcterms:W3CDTF">2020-09-15T11:41:00Z</dcterms:created>
  <dcterms:modified xsi:type="dcterms:W3CDTF">2020-09-15T11:42:00Z</dcterms:modified>
</cp:coreProperties>
</file>